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78" w:rsidRDefault="00B85C78" w:rsidP="00B85C78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Условия постановки на учет граждан, имеющих 3-х и более детей, в качестве лиц, имеющих право на предоставление им земельного участка.</w:t>
      </w:r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ОБЯЗАТЕЛЬНЫЕ УСЛОВИЯ  </w:t>
      </w: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для постановки на учет граждан, имеющих трех и более детей, в качестве лиц, имеющих право на предоставление им земельного участка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в соответствии с  Законом  Краснодарского края от 26 декабря 2014 года N 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proofErr w:type="gramEnd"/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Гражданин (один из родителей), имеющий трех и более детей, имеющих гражданство Российской Федерации 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>(далее – заявитель), без торгов имеет право на предоставление ему земельного участка в собственность бесплатно в порядке, установленном настоящим Законом, с момента возникновения права собственности на построенный на этом земельном участке жилой дом, не предназначенный к разделу на квартиры (дом, пригодный для постоянного проживания), высотой не выше трех</w:t>
      </w:r>
      <w:proofErr w:type="gramEnd"/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надземных этажей </w:t>
      </w: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случае соблюдения следующих условий:</w:t>
      </w:r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1)    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>заявитель должен иметь гражданство Российской Федерации.</w:t>
      </w:r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2)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заявитель </w:t>
      </w: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течение последних пяти лет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должен проживать                         (факт проживания по месту жительства подтверждается регистрацией или судебным решением) на территории Тихорецкого городского поселения Тихорецкого района.</w:t>
      </w:r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3)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ни одному из указанных родителей на территории Тихорецкого городского поселения Тихорецкого района,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хозяйства;</w:t>
      </w:r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4)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дети заявителя не переданы под опеку (попечительство)                               (за исключением случая, предусмотренного </w:t>
      </w:r>
      <w:hyperlink r:id="rId5" w:history="1">
        <w:r w:rsidRPr="006935C8">
          <w:rPr>
            <w:rFonts w:ascii="Arial" w:eastAsia="Times New Roman" w:hAnsi="Arial" w:cs="Arial"/>
            <w:color w:val="00943A"/>
            <w:sz w:val="21"/>
            <w:szCs w:val="21"/>
            <w:lang w:eastAsia="ru-RU"/>
          </w:rPr>
          <w:t>частью 1 статьи 13</w:t>
        </w:r>
      </w:hyperlink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Федерального закона от 24 апреля 2008 года N 48-ФЗ «Об опеке и попечительстве»             («Родители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</w:t>
      </w:r>
      <w:proofErr w:type="gramEnd"/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указанием конкретного лица. </w:t>
      </w:r>
      <w:proofErr w:type="gramStart"/>
      <w:r w:rsidRPr="006935C8">
        <w:rPr>
          <w:rFonts w:ascii="Arial" w:eastAsia="Times New Roman" w:hAnsi="Arial" w:cs="Arial"/>
          <w:sz w:val="21"/>
          <w:szCs w:val="21"/>
          <w:lang w:eastAsia="ru-RU"/>
        </w:rPr>
        <w:t>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попечителя»);</w:t>
      </w:r>
      <w:proofErr w:type="gramEnd"/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5)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возраст младшего из детей заявителя не должен превышать:</w:t>
      </w:r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r w:rsidRPr="006935C8">
        <w:rPr>
          <w:rFonts w:ascii="Arial" w:eastAsia="Times New Roman" w:hAnsi="Arial" w:cs="Arial"/>
          <w:sz w:val="21"/>
          <w:szCs w:val="21"/>
          <w:lang w:eastAsia="ru-RU"/>
        </w:rPr>
        <w:t>18 лет;</w:t>
      </w:r>
    </w:p>
    <w:p w:rsidR="00B85C78" w:rsidRPr="006935C8" w:rsidRDefault="00B85C78" w:rsidP="00B85C78">
      <w:pPr>
        <w:shd w:val="clear" w:color="auto" w:fill="FFFFFF"/>
        <w:spacing w:before="150" w:after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935C8">
        <w:rPr>
          <w:rFonts w:ascii="Arial" w:eastAsia="Times New Roman" w:hAnsi="Arial" w:cs="Arial"/>
          <w:sz w:val="21"/>
          <w:szCs w:val="21"/>
          <w:lang w:eastAsia="ru-RU"/>
        </w:rPr>
        <w:t>19 лет - для проходящих военную службу по призыву в Вооруженных Силах Российской Федерации;</w:t>
      </w:r>
      <w:proofErr w:type="gramEnd"/>
    </w:p>
    <w:p w:rsidR="00B85C78" w:rsidRPr="006935C8" w:rsidRDefault="00B85C78" w:rsidP="00B85C78">
      <w:pPr>
        <w:shd w:val="clear" w:color="auto" w:fill="FFFFFF"/>
        <w:spacing w:before="150" w:line="312" w:lineRule="auto"/>
        <w:ind w:firstLine="360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935C8">
        <w:rPr>
          <w:rFonts w:ascii="Arial" w:eastAsia="Times New Roman" w:hAnsi="Arial" w:cs="Arial"/>
          <w:sz w:val="21"/>
          <w:szCs w:val="21"/>
          <w:lang w:eastAsia="ru-RU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  <w:proofErr w:type="gramEnd"/>
    </w:p>
    <w:p w:rsidR="00517C11" w:rsidRPr="00B85C78" w:rsidRDefault="00B85C78" w:rsidP="00B85C78"/>
    <w:sectPr w:rsidR="00517C11" w:rsidRPr="00B8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78"/>
    <w:rsid w:val="009D46EB"/>
    <w:rsid w:val="00B85C78"/>
    <w:rsid w:val="00D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3182.13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2015-06-03T07:14:00Z</dcterms:created>
  <dcterms:modified xsi:type="dcterms:W3CDTF">2015-06-03T07:15:00Z</dcterms:modified>
</cp:coreProperties>
</file>